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B8C2" w14:textId="3F2EEC67" w:rsidR="006A5B07" w:rsidRPr="006A5B07" w:rsidRDefault="006A5B07" w:rsidP="006A5B07">
      <w:pPr>
        <w:spacing w:after="0" w:line="240" w:lineRule="auto"/>
        <w:jc w:val="center"/>
        <w:rPr>
          <w:rFonts w:ascii="Calibri" w:hAnsi="Calibri" w:cs="Calibri"/>
          <w:b/>
          <w:bCs/>
          <w:sz w:val="28"/>
          <w:szCs w:val="28"/>
        </w:rPr>
      </w:pPr>
      <w:r w:rsidRPr="006A5B07">
        <w:rPr>
          <w:rFonts w:ascii="Calibri" w:hAnsi="Calibri" w:cs="Calibri"/>
          <w:b/>
          <w:bCs/>
          <w:sz w:val="28"/>
          <w:szCs w:val="28"/>
        </w:rPr>
        <w:t>THE JOHN GRISS CHARITY</w:t>
      </w:r>
    </w:p>
    <w:p w14:paraId="6DE91C77" w14:textId="77777777" w:rsidR="006A5B07" w:rsidRDefault="006A5B07" w:rsidP="006A5B07">
      <w:pPr>
        <w:spacing w:after="0" w:line="240" w:lineRule="auto"/>
        <w:jc w:val="center"/>
        <w:rPr>
          <w:rFonts w:ascii="Calibri" w:hAnsi="Calibri" w:cs="Calibri"/>
          <w:sz w:val="22"/>
          <w:szCs w:val="22"/>
        </w:rPr>
      </w:pPr>
    </w:p>
    <w:p w14:paraId="7B9F0527" w14:textId="11C35D7C" w:rsidR="006A5B07" w:rsidRDefault="006759A6" w:rsidP="006A5B07">
      <w:pPr>
        <w:spacing w:after="0" w:line="240" w:lineRule="auto"/>
        <w:jc w:val="center"/>
        <w:rPr>
          <w:rFonts w:ascii="Calibri" w:hAnsi="Calibri" w:cs="Calibri"/>
          <w:b/>
          <w:bCs/>
        </w:rPr>
      </w:pPr>
      <w:r w:rsidRPr="006759A6">
        <w:rPr>
          <w:rFonts w:ascii="Calibri" w:hAnsi="Calibri" w:cs="Calibri"/>
          <w:b/>
          <w:bCs/>
        </w:rPr>
        <w:t>Diversity and Equality of Opportunity</w:t>
      </w:r>
      <w:r w:rsidR="00EB0926">
        <w:rPr>
          <w:rFonts w:ascii="Calibri" w:hAnsi="Calibri" w:cs="Calibri"/>
          <w:b/>
          <w:bCs/>
        </w:rPr>
        <w:t xml:space="preserve"> Policy</w:t>
      </w:r>
    </w:p>
    <w:p w14:paraId="44C46E0E" w14:textId="77777777" w:rsidR="006759A6" w:rsidRPr="006759A6" w:rsidRDefault="006759A6" w:rsidP="006A5B07">
      <w:pPr>
        <w:spacing w:after="0" w:line="240" w:lineRule="auto"/>
        <w:jc w:val="center"/>
        <w:rPr>
          <w:rFonts w:ascii="Calibri" w:hAnsi="Calibri" w:cs="Calibri"/>
          <w:b/>
          <w:bCs/>
        </w:rPr>
      </w:pPr>
    </w:p>
    <w:p w14:paraId="54F9E208"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b/>
          <w:bCs/>
          <w:sz w:val="22"/>
          <w:szCs w:val="22"/>
        </w:rPr>
        <w:t>Purpose</w:t>
      </w:r>
    </w:p>
    <w:p w14:paraId="116133A3" w14:textId="207DDC4D"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 xml:space="preserve">To state the Trustees' policy on Diversity and Equality of Opportunity issues in relation to </w:t>
      </w:r>
      <w:r>
        <w:rPr>
          <w:rFonts w:ascii="Calibri" w:hAnsi="Calibri" w:cs="Calibri"/>
          <w:sz w:val="22"/>
          <w:szCs w:val="22"/>
        </w:rPr>
        <w:t>The John Griss Charity.</w:t>
      </w:r>
    </w:p>
    <w:p w14:paraId="1FCD4037" w14:textId="77777777" w:rsidR="006A5B07" w:rsidRPr="006A5B07" w:rsidRDefault="006A5B07" w:rsidP="006A5B07">
      <w:pPr>
        <w:spacing w:after="0" w:line="240" w:lineRule="auto"/>
        <w:rPr>
          <w:rFonts w:ascii="Calibri" w:hAnsi="Calibri" w:cs="Calibri"/>
          <w:sz w:val="22"/>
          <w:szCs w:val="22"/>
        </w:rPr>
      </w:pPr>
    </w:p>
    <w:p w14:paraId="5906A8D0"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b/>
          <w:bCs/>
          <w:sz w:val="22"/>
          <w:szCs w:val="22"/>
        </w:rPr>
        <w:t>Scope</w:t>
      </w:r>
    </w:p>
    <w:p w14:paraId="6F872108" w14:textId="7F7DD332"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 xml:space="preserve">The individuals falling within the scope of the policy include Trustees, employees, job applicants, volunteers and users of the </w:t>
      </w:r>
      <w:r>
        <w:rPr>
          <w:rFonts w:ascii="Calibri" w:hAnsi="Calibri" w:cs="Calibri"/>
          <w:sz w:val="22"/>
          <w:szCs w:val="22"/>
        </w:rPr>
        <w:t xml:space="preserve">Charity’s assets. </w:t>
      </w:r>
      <w:r w:rsidRPr="006A5B07">
        <w:rPr>
          <w:rFonts w:ascii="Calibri" w:hAnsi="Calibri" w:cs="Calibri"/>
          <w:sz w:val="22"/>
          <w:szCs w:val="22"/>
        </w:rPr>
        <w:t xml:space="preserve"> The Trustees recognise that everyone has a contribution to make to society, and a respect for diversity and equality issues is essential to make this work.</w:t>
      </w:r>
    </w:p>
    <w:p w14:paraId="66B5C59F" w14:textId="77777777" w:rsidR="006A5B07" w:rsidRPr="006A5B07" w:rsidRDefault="006A5B07" w:rsidP="006A5B07">
      <w:pPr>
        <w:spacing w:after="0" w:line="240" w:lineRule="auto"/>
        <w:rPr>
          <w:rFonts w:ascii="Calibri" w:hAnsi="Calibri" w:cs="Calibri"/>
          <w:sz w:val="22"/>
          <w:szCs w:val="22"/>
        </w:rPr>
      </w:pPr>
    </w:p>
    <w:p w14:paraId="2E0B1835"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b/>
          <w:bCs/>
          <w:sz w:val="22"/>
          <w:szCs w:val="22"/>
        </w:rPr>
        <w:t>Definition</w:t>
      </w:r>
    </w:p>
    <w:p w14:paraId="7AAC7D18" w14:textId="0ADC8D4D" w:rsidR="006A5B07" w:rsidRP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No job applicant or employee, member of c</w:t>
      </w:r>
      <w:r>
        <w:rPr>
          <w:rFonts w:ascii="Calibri" w:hAnsi="Calibri" w:cs="Calibri"/>
          <w:sz w:val="22"/>
          <w:szCs w:val="22"/>
        </w:rPr>
        <w:t>harity</w:t>
      </w:r>
      <w:r w:rsidRPr="006A5B07">
        <w:rPr>
          <w:rFonts w:ascii="Calibri" w:hAnsi="Calibri" w:cs="Calibri"/>
          <w:sz w:val="22"/>
          <w:szCs w:val="22"/>
        </w:rPr>
        <w:t xml:space="preserve">, volunteer, or organisation/individual to which we provide services will be discriminated against by </w:t>
      </w:r>
      <w:r>
        <w:rPr>
          <w:rFonts w:ascii="Calibri" w:hAnsi="Calibri" w:cs="Calibri"/>
          <w:sz w:val="22"/>
          <w:szCs w:val="22"/>
        </w:rPr>
        <w:t>The John Griss Charity</w:t>
      </w:r>
      <w:r w:rsidRPr="006A5B07">
        <w:rPr>
          <w:rFonts w:ascii="Calibri" w:hAnsi="Calibri" w:cs="Calibri"/>
          <w:sz w:val="22"/>
          <w:szCs w:val="22"/>
        </w:rPr>
        <w:t xml:space="preserve"> on the grounds of:</w:t>
      </w:r>
    </w:p>
    <w:p w14:paraId="46480BBD" w14:textId="77777777" w:rsidR="006A5B07" w:rsidRPr="006A5B07" w:rsidRDefault="006A5B07" w:rsidP="006A5B07">
      <w:pPr>
        <w:numPr>
          <w:ilvl w:val="0"/>
          <w:numId w:val="1"/>
        </w:numPr>
        <w:spacing w:after="0" w:line="240" w:lineRule="auto"/>
        <w:rPr>
          <w:rFonts w:ascii="Calibri" w:hAnsi="Calibri" w:cs="Calibri"/>
          <w:sz w:val="22"/>
          <w:szCs w:val="22"/>
        </w:rPr>
      </w:pPr>
      <w:r w:rsidRPr="006A5B07">
        <w:rPr>
          <w:rFonts w:ascii="Calibri" w:hAnsi="Calibri" w:cs="Calibri"/>
          <w:sz w:val="22"/>
          <w:szCs w:val="22"/>
        </w:rPr>
        <w:t>Gender (including sex, marital status, gender re-assignment)</w:t>
      </w:r>
    </w:p>
    <w:p w14:paraId="54F71B9D" w14:textId="77777777" w:rsidR="006A5B07" w:rsidRPr="006A5B07" w:rsidRDefault="006A5B07" w:rsidP="006A5B07">
      <w:pPr>
        <w:numPr>
          <w:ilvl w:val="0"/>
          <w:numId w:val="2"/>
        </w:numPr>
        <w:spacing w:after="0" w:line="240" w:lineRule="auto"/>
        <w:rPr>
          <w:rFonts w:ascii="Calibri" w:hAnsi="Calibri" w:cs="Calibri"/>
          <w:sz w:val="22"/>
          <w:szCs w:val="22"/>
        </w:rPr>
      </w:pPr>
      <w:r w:rsidRPr="006A5B07">
        <w:rPr>
          <w:rFonts w:ascii="Calibri" w:hAnsi="Calibri" w:cs="Calibri"/>
          <w:sz w:val="22"/>
          <w:szCs w:val="22"/>
        </w:rPr>
        <w:t>Race (including ethnic origin, colour, nationality or national origin)</w:t>
      </w:r>
    </w:p>
    <w:p w14:paraId="26EB3A97" w14:textId="77777777" w:rsidR="006A5B07" w:rsidRPr="006A5B07" w:rsidRDefault="006A5B07" w:rsidP="006A5B07">
      <w:pPr>
        <w:numPr>
          <w:ilvl w:val="0"/>
          <w:numId w:val="3"/>
        </w:numPr>
        <w:spacing w:after="0" w:line="240" w:lineRule="auto"/>
        <w:rPr>
          <w:rFonts w:ascii="Calibri" w:hAnsi="Calibri" w:cs="Calibri"/>
          <w:sz w:val="22"/>
          <w:szCs w:val="22"/>
        </w:rPr>
      </w:pPr>
      <w:r w:rsidRPr="006A5B07">
        <w:rPr>
          <w:rFonts w:ascii="Calibri" w:hAnsi="Calibri" w:cs="Calibri"/>
          <w:sz w:val="22"/>
          <w:szCs w:val="22"/>
        </w:rPr>
        <w:t>Disability</w:t>
      </w:r>
    </w:p>
    <w:p w14:paraId="2933838E" w14:textId="77777777" w:rsidR="006A5B07" w:rsidRPr="006A5B07" w:rsidRDefault="006A5B07" w:rsidP="006A5B07">
      <w:pPr>
        <w:numPr>
          <w:ilvl w:val="0"/>
          <w:numId w:val="4"/>
        </w:numPr>
        <w:spacing w:after="0" w:line="240" w:lineRule="auto"/>
        <w:rPr>
          <w:rFonts w:ascii="Calibri" w:hAnsi="Calibri" w:cs="Calibri"/>
          <w:sz w:val="22"/>
          <w:szCs w:val="22"/>
        </w:rPr>
      </w:pPr>
      <w:r w:rsidRPr="006A5B07">
        <w:rPr>
          <w:rFonts w:ascii="Calibri" w:hAnsi="Calibri" w:cs="Calibri"/>
          <w:sz w:val="22"/>
          <w:szCs w:val="22"/>
        </w:rPr>
        <w:t>Sexual orientation</w:t>
      </w:r>
    </w:p>
    <w:p w14:paraId="384AAA1D" w14:textId="77777777" w:rsidR="006A5B07" w:rsidRDefault="006A5B07" w:rsidP="006A5B07">
      <w:pPr>
        <w:numPr>
          <w:ilvl w:val="0"/>
          <w:numId w:val="5"/>
        </w:numPr>
        <w:spacing w:after="0" w:line="240" w:lineRule="auto"/>
        <w:rPr>
          <w:rFonts w:ascii="Calibri" w:hAnsi="Calibri" w:cs="Calibri"/>
          <w:sz w:val="22"/>
          <w:szCs w:val="22"/>
        </w:rPr>
      </w:pPr>
      <w:r w:rsidRPr="006A5B07">
        <w:rPr>
          <w:rFonts w:ascii="Calibri" w:hAnsi="Calibri" w:cs="Calibri"/>
          <w:sz w:val="22"/>
          <w:szCs w:val="22"/>
        </w:rPr>
        <w:t>Religion or belief</w:t>
      </w:r>
    </w:p>
    <w:p w14:paraId="641E07EC" w14:textId="77777777" w:rsidR="006A5B07" w:rsidRPr="006A5B07" w:rsidRDefault="006A5B07" w:rsidP="006A5B07">
      <w:pPr>
        <w:numPr>
          <w:ilvl w:val="0"/>
          <w:numId w:val="5"/>
        </w:numPr>
        <w:spacing w:after="0" w:line="240" w:lineRule="auto"/>
        <w:rPr>
          <w:rFonts w:ascii="Calibri" w:hAnsi="Calibri" w:cs="Calibri"/>
          <w:sz w:val="22"/>
          <w:szCs w:val="22"/>
        </w:rPr>
      </w:pPr>
    </w:p>
    <w:p w14:paraId="236CF7F9"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b/>
          <w:bCs/>
          <w:sz w:val="22"/>
          <w:szCs w:val="22"/>
        </w:rPr>
        <w:t>Promotion of respect</w:t>
      </w:r>
    </w:p>
    <w:p w14:paraId="2671D257"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 xml:space="preserve">Promotion of respect for diversity and Equality of Opportunity will be achieved by the </w:t>
      </w:r>
      <w:proofErr w:type="gramStart"/>
      <w:r w:rsidRPr="006A5B07">
        <w:rPr>
          <w:rFonts w:ascii="Calibri" w:hAnsi="Calibri" w:cs="Calibri"/>
          <w:sz w:val="22"/>
          <w:szCs w:val="22"/>
        </w:rPr>
        <w:t>following;</w:t>
      </w:r>
      <w:proofErr w:type="gramEnd"/>
    </w:p>
    <w:p w14:paraId="779F26FF" w14:textId="77777777" w:rsidR="006A5B07" w:rsidRPr="006A5B07" w:rsidRDefault="006A5B07" w:rsidP="006A5B07">
      <w:pPr>
        <w:numPr>
          <w:ilvl w:val="0"/>
          <w:numId w:val="6"/>
        </w:numPr>
        <w:spacing w:after="0" w:line="240" w:lineRule="auto"/>
        <w:rPr>
          <w:rFonts w:ascii="Calibri" w:hAnsi="Calibri" w:cs="Calibri"/>
          <w:sz w:val="22"/>
          <w:szCs w:val="22"/>
        </w:rPr>
      </w:pPr>
      <w:r w:rsidRPr="006A5B07">
        <w:rPr>
          <w:rFonts w:ascii="Calibri" w:hAnsi="Calibri" w:cs="Calibri"/>
          <w:sz w:val="22"/>
          <w:szCs w:val="22"/>
        </w:rPr>
        <w:t>Opposing all forms of unlawful and unfair discrimination</w:t>
      </w:r>
    </w:p>
    <w:p w14:paraId="2FA80B36" w14:textId="6AD9F166" w:rsidR="006A5B07" w:rsidRPr="006A5B07" w:rsidRDefault="006A5B07" w:rsidP="006A5B07">
      <w:pPr>
        <w:numPr>
          <w:ilvl w:val="0"/>
          <w:numId w:val="7"/>
        </w:numPr>
        <w:spacing w:after="0" w:line="240" w:lineRule="auto"/>
        <w:rPr>
          <w:rFonts w:ascii="Calibri" w:hAnsi="Calibri" w:cs="Calibri"/>
          <w:sz w:val="22"/>
          <w:szCs w:val="22"/>
        </w:rPr>
      </w:pPr>
      <w:r w:rsidRPr="006A5B07">
        <w:rPr>
          <w:rFonts w:ascii="Calibri" w:hAnsi="Calibri" w:cs="Calibri"/>
          <w:sz w:val="22"/>
          <w:szCs w:val="22"/>
        </w:rPr>
        <w:t xml:space="preserve">Treating all users of the </w:t>
      </w:r>
      <w:r>
        <w:rPr>
          <w:rFonts w:ascii="Calibri" w:hAnsi="Calibri" w:cs="Calibri"/>
          <w:sz w:val="22"/>
          <w:szCs w:val="22"/>
        </w:rPr>
        <w:t>assets</w:t>
      </w:r>
      <w:r w:rsidRPr="006A5B07">
        <w:rPr>
          <w:rFonts w:ascii="Calibri" w:hAnsi="Calibri" w:cs="Calibri"/>
          <w:sz w:val="22"/>
          <w:szCs w:val="22"/>
        </w:rPr>
        <w:t>, in whatever capacity, fairly and with respect</w:t>
      </w:r>
    </w:p>
    <w:p w14:paraId="5CC2D2C8" w14:textId="7A64C903" w:rsidR="006A5B07" w:rsidRPr="006A5B07" w:rsidRDefault="006A5B07" w:rsidP="006A5B07">
      <w:pPr>
        <w:numPr>
          <w:ilvl w:val="0"/>
          <w:numId w:val="8"/>
        </w:numPr>
        <w:spacing w:after="0" w:line="240" w:lineRule="auto"/>
        <w:rPr>
          <w:rFonts w:ascii="Calibri" w:hAnsi="Calibri" w:cs="Calibri"/>
          <w:sz w:val="22"/>
          <w:szCs w:val="22"/>
        </w:rPr>
      </w:pPr>
      <w:r w:rsidRPr="006A5B07">
        <w:rPr>
          <w:rFonts w:ascii="Calibri" w:hAnsi="Calibri" w:cs="Calibri"/>
          <w:sz w:val="22"/>
          <w:szCs w:val="22"/>
        </w:rPr>
        <w:t xml:space="preserve">Ensuring the </w:t>
      </w:r>
      <w:r>
        <w:rPr>
          <w:rFonts w:ascii="Calibri" w:hAnsi="Calibri" w:cs="Calibri"/>
          <w:sz w:val="22"/>
          <w:szCs w:val="22"/>
        </w:rPr>
        <w:t>assets are</w:t>
      </w:r>
      <w:r w:rsidRPr="006A5B07">
        <w:rPr>
          <w:rFonts w:ascii="Calibri" w:hAnsi="Calibri" w:cs="Calibri"/>
          <w:sz w:val="22"/>
          <w:szCs w:val="22"/>
        </w:rPr>
        <w:t xml:space="preserve"> open to all potential users, subject to availability,</w:t>
      </w:r>
    </w:p>
    <w:p w14:paraId="31C8ED09" w14:textId="77777777" w:rsidR="006A5B07" w:rsidRPr="006A5B07" w:rsidRDefault="006A5B07" w:rsidP="006A5B07">
      <w:pPr>
        <w:numPr>
          <w:ilvl w:val="0"/>
          <w:numId w:val="10"/>
        </w:numPr>
        <w:spacing w:after="0" w:line="240" w:lineRule="auto"/>
        <w:rPr>
          <w:rFonts w:ascii="Calibri" w:hAnsi="Calibri" w:cs="Calibri"/>
          <w:sz w:val="22"/>
          <w:szCs w:val="22"/>
        </w:rPr>
      </w:pPr>
      <w:r w:rsidRPr="006A5B07">
        <w:rPr>
          <w:rFonts w:ascii="Calibri" w:hAnsi="Calibri" w:cs="Calibri"/>
          <w:sz w:val="22"/>
          <w:szCs w:val="22"/>
        </w:rPr>
        <w:t>Advertising employment vacancies fairly, and will include a copy of this policy</w:t>
      </w:r>
    </w:p>
    <w:p w14:paraId="043A4598" w14:textId="77777777" w:rsidR="006A5B07" w:rsidRPr="006A5B07" w:rsidRDefault="006A5B07" w:rsidP="006A5B07">
      <w:pPr>
        <w:numPr>
          <w:ilvl w:val="0"/>
          <w:numId w:val="11"/>
        </w:numPr>
        <w:spacing w:after="0" w:line="240" w:lineRule="auto"/>
        <w:rPr>
          <w:rFonts w:ascii="Calibri" w:hAnsi="Calibri" w:cs="Calibri"/>
          <w:sz w:val="22"/>
          <w:szCs w:val="22"/>
        </w:rPr>
      </w:pPr>
      <w:r w:rsidRPr="006A5B07">
        <w:rPr>
          <w:rFonts w:ascii="Calibri" w:hAnsi="Calibri" w:cs="Calibri"/>
          <w:sz w:val="22"/>
          <w:szCs w:val="22"/>
        </w:rPr>
        <w:t xml:space="preserve">Selecting for employment, volunteering, any form of training or other benefit </w:t>
      </w:r>
      <w:proofErr w:type="gramStart"/>
      <w:r w:rsidRPr="006A5B07">
        <w:rPr>
          <w:rFonts w:ascii="Calibri" w:hAnsi="Calibri" w:cs="Calibri"/>
          <w:sz w:val="22"/>
          <w:szCs w:val="22"/>
        </w:rPr>
        <w:t>on the basis of</w:t>
      </w:r>
      <w:proofErr w:type="gramEnd"/>
      <w:r w:rsidRPr="006A5B07">
        <w:rPr>
          <w:rFonts w:ascii="Calibri" w:hAnsi="Calibri" w:cs="Calibri"/>
          <w:sz w:val="22"/>
          <w:szCs w:val="22"/>
        </w:rPr>
        <w:t xml:space="preserve"> aptitude and ability and recording all selection/rejection decisions</w:t>
      </w:r>
    </w:p>
    <w:p w14:paraId="4A8C8B18" w14:textId="2E9E9FFF" w:rsidR="006A5B07" w:rsidRPr="006A5B07" w:rsidRDefault="006A5B07" w:rsidP="006A5B07">
      <w:pPr>
        <w:numPr>
          <w:ilvl w:val="0"/>
          <w:numId w:val="12"/>
        </w:numPr>
        <w:spacing w:after="0" w:line="240" w:lineRule="auto"/>
        <w:rPr>
          <w:rFonts w:ascii="Calibri" w:hAnsi="Calibri" w:cs="Calibri"/>
          <w:sz w:val="22"/>
          <w:szCs w:val="22"/>
        </w:rPr>
      </w:pPr>
      <w:r w:rsidRPr="006A5B07">
        <w:rPr>
          <w:rFonts w:ascii="Calibri" w:hAnsi="Calibri" w:cs="Calibri"/>
          <w:sz w:val="22"/>
          <w:szCs w:val="22"/>
        </w:rPr>
        <w:t xml:space="preserve">Engendering an environment in which individual difference, and the contributions of all employees, volunteers and </w:t>
      </w:r>
      <w:r>
        <w:rPr>
          <w:rFonts w:ascii="Calibri" w:hAnsi="Calibri" w:cs="Calibri"/>
          <w:sz w:val="22"/>
          <w:szCs w:val="22"/>
        </w:rPr>
        <w:t>visitors</w:t>
      </w:r>
      <w:r w:rsidRPr="006A5B07">
        <w:rPr>
          <w:rFonts w:ascii="Calibri" w:hAnsi="Calibri" w:cs="Calibri"/>
          <w:sz w:val="22"/>
          <w:szCs w:val="22"/>
        </w:rPr>
        <w:t xml:space="preserve"> are respected, recognised and valued</w:t>
      </w:r>
    </w:p>
    <w:p w14:paraId="0CC0FE60" w14:textId="77777777" w:rsidR="006A5B07" w:rsidRDefault="006A5B07" w:rsidP="006A5B07">
      <w:pPr>
        <w:numPr>
          <w:ilvl w:val="0"/>
          <w:numId w:val="13"/>
        </w:numPr>
        <w:spacing w:after="0" w:line="240" w:lineRule="auto"/>
        <w:rPr>
          <w:rFonts w:ascii="Calibri" w:hAnsi="Calibri" w:cs="Calibri"/>
          <w:sz w:val="22"/>
          <w:szCs w:val="22"/>
        </w:rPr>
      </w:pPr>
      <w:r w:rsidRPr="006A5B07">
        <w:rPr>
          <w:rFonts w:ascii="Calibri" w:hAnsi="Calibri" w:cs="Calibri"/>
          <w:sz w:val="22"/>
          <w:szCs w:val="22"/>
        </w:rPr>
        <w:t>Engendering an environment where all users, in whatever capacity, understand that they are part of an environment that promotes dignity and respect for all, and where intimidation, bullying, and harassment will not be tolerated</w:t>
      </w:r>
    </w:p>
    <w:p w14:paraId="069AD70A" w14:textId="77777777" w:rsidR="006A5B07" w:rsidRPr="006A5B07" w:rsidRDefault="006A5B07" w:rsidP="006A5B07">
      <w:pPr>
        <w:spacing w:after="0" w:line="240" w:lineRule="auto"/>
        <w:ind w:left="720"/>
        <w:rPr>
          <w:rFonts w:ascii="Calibri" w:hAnsi="Calibri" w:cs="Calibri"/>
          <w:sz w:val="22"/>
          <w:szCs w:val="22"/>
        </w:rPr>
      </w:pPr>
    </w:p>
    <w:p w14:paraId="62EB5681"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b/>
          <w:bCs/>
          <w:sz w:val="22"/>
          <w:szCs w:val="22"/>
        </w:rPr>
        <w:t>Dealing with Complaints</w:t>
      </w:r>
    </w:p>
    <w:p w14:paraId="79628474" w14:textId="3EE90787"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 xml:space="preserve">Employees, volunteers, and </w:t>
      </w:r>
      <w:r>
        <w:rPr>
          <w:rFonts w:ascii="Calibri" w:hAnsi="Calibri" w:cs="Calibri"/>
          <w:sz w:val="22"/>
          <w:szCs w:val="22"/>
        </w:rPr>
        <w:t xml:space="preserve">visitors </w:t>
      </w:r>
      <w:r w:rsidRPr="006A5B07">
        <w:rPr>
          <w:rFonts w:ascii="Calibri" w:hAnsi="Calibri" w:cs="Calibri"/>
          <w:sz w:val="22"/>
          <w:szCs w:val="22"/>
        </w:rPr>
        <w:t>have a legal and moral obligation not to discriminate on the grounds stated in the definition against individuals or groups and must report any such incident to a Trustee.</w:t>
      </w:r>
    </w:p>
    <w:p w14:paraId="498267E3" w14:textId="77777777" w:rsidR="006A5B07" w:rsidRPr="006A5B07" w:rsidRDefault="006A5B07" w:rsidP="006A5B07">
      <w:pPr>
        <w:spacing w:after="0" w:line="240" w:lineRule="auto"/>
        <w:rPr>
          <w:rFonts w:ascii="Calibri" w:hAnsi="Calibri" w:cs="Calibri"/>
          <w:sz w:val="22"/>
          <w:szCs w:val="22"/>
        </w:rPr>
      </w:pPr>
    </w:p>
    <w:p w14:paraId="53803E11" w14:textId="77777777"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The Trustees will take complaints of discrimination and harassment very seriously.</w:t>
      </w:r>
    </w:p>
    <w:p w14:paraId="047DD31C" w14:textId="77777777" w:rsidR="006759A6" w:rsidRPr="006A5B07" w:rsidRDefault="006759A6" w:rsidP="006A5B07">
      <w:pPr>
        <w:spacing w:after="0" w:line="240" w:lineRule="auto"/>
        <w:rPr>
          <w:rFonts w:ascii="Calibri" w:hAnsi="Calibri" w:cs="Calibri"/>
          <w:sz w:val="22"/>
          <w:szCs w:val="22"/>
        </w:rPr>
      </w:pPr>
    </w:p>
    <w:p w14:paraId="79D9E99D" w14:textId="3EBEF5D0"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They will investigate them thoroughly and provide opportunities for the person making the complaint to speak in a safe environment about their experience.</w:t>
      </w:r>
    </w:p>
    <w:p w14:paraId="49F29853" w14:textId="77777777" w:rsidR="006759A6" w:rsidRPr="006A5B07" w:rsidRDefault="006759A6" w:rsidP="006A5B07">
      <w:pPr>
        <w:spacing w:after="0" w:line="240" w:lineRule="auto"/>
        <w:rPr>
          <w:rFonts w:ascii="Calibri" w:hAnsi="Calibri" w:cs="Calibri"/>
          <w:sz w:val="22"/>
          <w:szCs w:val="22"/>
        </w:rPr>
      </w:pPr>
    </w:p>
    <w:p w14:paraId="37E42B44"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If the complaint is against a particular individual, the Trustees will hear their point of view.</w:t>
      </w:r>
    </w:p>
    <w:p w14:paraId="475C93AA" w14:textId="77777777" w:rsid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The Trustees will decide the action to take based on the principle of ensuring the continued inclusion and safety of any member who has experienced discrimination or harassment.</w:t>
      </w:r>
    </w:p>
    <w:p w14:paraId="43829A9F" w14:textId="77777777" w:rsidR="006759A6" w:rsidRPr="006A5B07" w:rsidRDefault="006759A6" w:rsidP="006A5B07">
      <w:pPr>
        <w:spacing w:after="0" w:line="240" w:lineRule="auto"/>
        <w:rPr>
          <w:rFonts w:ascii="Calibri" w:hAnsi="Calibri" w:cs="Calibri"/>
          <w:sz w:val="22"/>
          <w:szCs w:val="22"/>
        </w:rPr>
      </w:pPr>
    </w:p>
    <w:p w14:paraId="4599B0EE" w14:textId="77777777" w:rsidR="006A5B07" w:rsidRPr="006A5B07" w:rsidRDefault="006A5B07" w:rsidP="006A5B07">
      <w:pPr>
        <w:spacing w:after="0" w:line="240" w:lineRule="auto"/>
        <w:rPr>
          <w:rFonts w:ascii="Calibri" w:hAnsi="Calibri" w:cs="Calibri"/>
          <w:sz w:val="22"/>
          <w:szCs w:val="22"/>
        </w:rPr>
      </w:pPr>
      <w:r w:rsidRPr="006A5B07">
        <w:rPr>
          <w:rFonts w:ascii="Calibri" w:hAnsi="Calibri" w:cs="Calibri"/>
          <w:sz w:val="22"/>
          <w:szCs w:val="22"/>
        </w:rPr>
        <w:t>This policy will be monitored, and subject to regular review.</w:t>
      </w:r>
    </w:p>
    <w:p w14:paraId="588FABB2" w14:textId="77777777" w:rsidR="006759A6" w:rsidRDefault="006759A6" w:rsidP="006759A6">
      <w:pPr>
        <w:spacing w:after="0" w:line="240" w:lineRule="auto"/>
        <w:rPr>
          <w:rFonts w:ascii="Calibri" w:hAnsi="Calibri" w:cs="Calibri"/>
          <w:sz w:val="22"/>
          <w:szCs w:val="22"/>
        </w:rPr>
      </w:pPr>
      <w:r w:rsidRPr="00132EC9">
        <w:rPr>
          <w:rFonts w:ascii="Calibri" w:hAnsi="Calibri" w:cs="Calibri"/>
          <w:sz w:val="22"/>
          <w:szCs w:val="22"/>
        </w:rPr>
        <w:lastRenderedPageBreak/>
        <w:t>Policy agreed by Trustees on:</w:t>
      </w:r>
      <w:r>
        <w:rPr>
          <w:rFonts w:ascii="Calibri" w:hAnsi="Calibri" w:cs="Calibri"/>
          <w:sz w:val="22"/>
          <w:szCs w:val="22"/>
        </w:rPr>
        <w:t xml:space="preserve"> _______________________________</w:t>
      </w:r>
    </w:p>
    <w:p w14:paraId="1ABABC6F" w14:textId="77777777" w:rsidR="006759A6" w:rsidRPr="00132EC9" w:rsidRDefault="006759A6" w:rsidP="006759A6">
      <w:pPr>
        <w:spacing w:after="0" w:line="240" w:lineRule="auto"/>
        <w:rPr>
          <w:rFonts w:ascii="Calibri" w:hAnsi="Calibri" w:cs="Calibri"/>
          <w:sz w:val="22"/>
          <w:szCs w:val="22"/>
        </w:rPr>
      </w:pPr>
    </w:p>
    <w:p w14:paraId="08DBAFF7" w14:textId="77777777" w:rsidR="006759A6" w:rsidRPr="00132EC9" w:rsidRDefault="006759A6" w:rsidP="006759A6">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__________________________________________</w:t>
      </w:r>
    </w:p>
    <w:p w14:paraId="6EFA4EB3" w14:textId="77777777" w:rsidR="006759A6" w:rsidRPr="007324A3" w:rsidRDefault="006759A6" w:rsidP="006759A6">
      <w:pPr>
        <w:spacing w:after="0" w:line="240" w:lineRule="auto"/>
        <w:rPr>
          <w:rFonts w:ascii="Calibri" w:hAnsi="Calibri" w:cs="Calibri"/>
          <w:sz w:val="22"/>
          <w:szCs w:val="22"/>
        </w:rPr>
      </w:pPr>
    </w:p>
    <w:p w14:paraId="451B9329" w14:textId="77777777" w:rsidR="006A5B07" w:rsidRPr="006A5B07" w:rsidRDefault="006A5B07" w:rsidP="006A5B07">
      <w:pPr>
        <w:spacing w:after="0" w:line="240" w:lineRule="auto"/>
        <w:rPr>
          <w:rFonts w:ascii="Calibri" w:hAnsi="Calibri" w:cs="Calibri"/>
          <w:sz w:val="22"/>
          <w:szCs w:val="22"/>
        </w:rPr>
      </w:pPr>
    </w:p>
    <w:sectPr w:rsidR="006A5B07" w:rsidRPr="006A5B07" w:rsidSect="006A5B07">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B72A" w14:textId="77777777" w:rsidR="006C561C" w:rsidRDefault="006C561C" w:rsidP="006A5B07">
      <w:pPr>
        <w:spacing w:after="0" w:line="240" w:lineRule="auto"/>
      </w:pPr>
      <w:r>
        <w:separator/>
      </w:r>
    </w:p>
  </w:endnote>
  <w:endnote w:type="continuationSeparator" w:id="0">
    <w:p w14:paraId="68446202" w14:textId="77777777" w:rsidR="006C561C" w:rsidRDefault="006C561C" w:rsidP="006A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8BD8" w14:textId="77777777" w:rsidR="006A5B07" w:rsidRDefault="006A5B07" w:rsidP="006A5B07">
    <w:pPr>
      <w:spacing w:after="0" w:line="240" w:lineRule="auto"/>
      <w:rPr>
        <w:rFonts w:ascii="Calibri" w:hAnsi="Calibri" w:cs="Calibri"/>
        <w:sz w:val="22"/>
        <w:szCs w:val="22"/>
      </w:rPr>
    </w:pPr>
    <w:r w:rsidRPr="00233BE0">
      <w:rPr>
        <w:rFonts w:ascii="Calibri" w:hAnsi="Calibri" w:cs="Calibri"/>
        <w:sz w:val="22"/>
        <w:szCs w:val="22"/>
      </w:rPr>
      <w:t>The John Griss Charity</w:t>
    </w:r>
  </w:p>
  <w:p w14:paraId="3DDFD907" w14:textId="77777777" w:rsidR="006A5B07" w:rsidRPr="00233BE0" w:rsidRDefault="006A5B07" w:rsidP="006A5B07">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F95A940" w14:textId="77777777" w:rsidR="006A5B07" w:rsidRPr="00233BE0" w:rsidRDefault="006A5B07" w:rsidP="006A5B07">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3B8ACF92" w14:textId="77777777" w:rsidR="006A5B07" w:rsidRPr="00233BE0" w:rsidRDefault="006A5B07" w:rsidP="006A5B07">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27F49B92" w14:textId="77777777" w:rsidR="006A5B07" w:rsidRPr="006A5B07" w:rsidRDefault="006A5B07">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15B1" w14:textId="77777777" w:rsidR="006C561C" w:rsidRDefault="006C561C" w:rsidP="006A5B07">
      <w:pPr>
        <w:spacing w:after="0" w:line="240" w:lineRule="auto"/>
      </w:pPr>
      <w:r>
        <w:separator/>
      </w:r>
    </w:p>
  </w:footnote>
  <w:footnote w:type="continuationSeparator" w:id="0">
    <w:p w14:paraId="3B9ADA38" w14:textId="77777777" w:rsidR="006C561C" w:rsidRDefault="006C561C" w:rsidP="006A5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CF3"/>
    <w:multiLevelType w:val="multilevel"/>
    <w:tmpl w:val="F9E4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5792"/>
    <w:multiLevelType w:val="multilevel"/>
    <w:tmpl w:val="A0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C2825"/>
    <w:multiLevelType w:val="multilevel"/>
    <w:tmpl w:val="C01A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A00EF"/>
    <w:multiLevelType w:val="multilevel"/>
    <w:tmpl w:val="F5F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A6F9E"/>
    <w:multiLevelType w:val="multilevel"/>
    <w:tmpl w:val="C622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4430"/>
    <w:multiLevelType w:val="multilevel"/>
    <w:tmpl w:val="608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4146C"/>
    <w:multiLevelType w:val="multilevel"/>
    <w:tmpl w:val="6A3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D3B14"/>
    <w:multiLevelType w:val="multilevel"/>
    <w:tmpl w:val="5A5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51C0B"/>
    <w:multiLevelType w:val="multilevel"/>
    <w:tmpl w:val="F07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A20B3"/>
    <w:multiLevelType w:val="multilevel"/>
    <w:tmpl w:val="7B9A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44A13"/>
    <w:multiLevelType w:val="multilevel"/>
    <w:tmpl w:val="D902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C6960"/>
    <w:multiLevelType w:val="multilevel"/>
    <w:tmpl w:val="C8B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37335"/>
    <w:multiLevelType w:val="multilevel"/>
    <w:tmpl w:val="FBD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581034">
    <w:abstractNumId w:val="7"/>
  </w:num>
  <w:num w:numId="2" w16cid:durableId="80879381">
    <w:abstractNumId w:val="9"/>
  </w:num>
  <w:num w:numId="3" w16cid:durableId="546142710">
    <w:abstractNumId w:val="2"/>
  </w:num>
  <w:num w:numId="4" w16cid:durableId="221333324">
    <w:abstractNumId w:val="3"/>
  </w:num>
  <w:num w:numId="5" w16cid:durableId="486674287">
    <w:abstractNumId w:val="12"/>
  </w:num>
  <w:num w:numId="6" w16cid:durableId="492111892">
    <w:abstractNumId w:val="4"/>
  </w:num>
  <w:num w:numId="7" w16cid:durableId="1082146739">
    <w:abstractNumId w:val="1"/>
  </w:num>
  <w:num w:numId="8" w16cid:durableId="874122014">
    <w:abstractNumId w:val="11"/>
  </w:num>
  <w:num w:numId="9" w16cid:durableId="1580169343">
    <w:abstractNumId w:val="6"/>
  </w:num>
  <w:num w:numId="10" w16cid:durableId="584608771">
    <w:abstractNumId w:val="10"/>
  </w:num>
  <w:num w:numId="11" w16cid:durableId="1944801260">
    <w:abstractNumId w:val="0"/>
  </w:num>
  <w:num w:numId="12" w16cid:durableId="1646465613">
    <w:abstractNumId w:val="8"/>
  </w:num>
  <w:num w:numId="13" w16cid:durableId="1256860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07"/>
    <w:rsid w:val="00293EE3"/>
    <w:rsid w:val="006759A6"/>
    <w:rsid w:val="006A5B07"/>
    <w:rsid w:val="006C561C"/>
    <w:rsid w:val="0091670B"/>
    <w:rsid w:val="00BA52C4"/>
    <w:rsid w:val="00EB0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04E2"/>
  <w15:chartTrackingRefBased/>
  <w15:docId w15:val="{ECBA4E20-BA39-4233-A4A0-7C6D81F9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B07"/>
    <w:rPr>
      <w:rFonts w:eastAsiaTheme="majorEastAsia" w:cstheme="majorBidi"/>
      <w:color w:val="272727" w:themeColor="text1" w:themeTint="D8"/>
    </w:rPr>
  </w:style>
  <w:style w:type="paragraph" w:styleId="Title">
    <w:name w:val="Title"/>
    <w:basedOn w:val="Normal"/>
    <w:next w:val="Normal"/>
    <w:link w:val="TitleChar"/>
    <w:uiPriority w:val="10"/>
    <w:qFormat/>
    <w:rsid w:val="006A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B07"/>
    <w:pPr>
      <w:spacing w:before="160"/>
      <w:jc w:val="center"/>
    </w:pPr>
    <w:rPr>
      <w:i/>
      <w:iCs/>
      <w:color w:val="404040" w:themeColor="text1" w:themeTint="BF"/>
    </w:rPr>
  </w:style>
  <w:style w:type="character" w:customStyle="1" w:styleId="QuoteChar">
    <w:name w:val="Quote Char"/>
    <w:basedOn w:val="DefaultParagraphFont"/>
    <w:link w:val="Quote"/>
    <w:uiPriority w:val="29"/>
    <w:rsid w:val="006A5B07"/>
    <w:rPr>
      <w:i/>
      <w:iCs/>
      <w:color w:val="404040" w:themeColor="text1" w:themeTint="BF"/>
    </w:rPr>
  </w:style>
  <w:style w:type="paragraph" w:styleId="ListParagraph">
    <w:name w:val="List Paragraph"/>
    <w:basedOn w:val="Normal"/>
    <w:uiPriority w:val="34"/>
    <w:qFormat/>
    <w:rsid w:val="006A5B07"/>
    <w:pPr>
      <w:ind w:left="720"/>
      <w:contextualSpacing/>
    </w:pPr>
  </w:style>
  <w:style w:type="character" w:styleId="IntenseEmphasis">
    <w:name w:val="Intense Emphasis"/>
    <w:basedOn w:val="DefaultParagraphFont"/>
    <w:uiPriority w:val="21"/>
    <w:qFormat/>
    <w:rsid w:val="006A5B07"/>
    <w:rPr>
      <w:i/>
      <w:iCs/>
      <w:color w:val="0F4761" w:themeColor="accent1" w:themeShade="BF"/>
    </w:rPr>
  </w:style>
  <w:style w:type="paragraph" w:styleId="IntenseQuote">
    <w:name w:val="Intense Quote"/>
    <w:basedOn w:val="Normal"/>
    <w:next w:val="Normal"/>
    <w:link w:val="IntenseQuoteChar"/>
    <w:uiPriority w:val="30"/>
    <w:qFormat/>
    <w:rsid w:val="006A5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B07"/>
    <w:rPr>
      <w:i/>
      <w:iCs/>
      <w:color w:val="0F4761" w:themeColor="accent1" w:themeShade="BF"/>
    </w:rPr>
  </w:style>
  <w:style w:type="character" w:styleId="IntenseReference">
    <w:name w:val="Intense Reference"/>
    <w:basedOn w:val="DefaultParagraphFont"/>
    <w:uiPriority w:val="32"/>
    <w:qFormat/>
    <w:rsid w:val="006A5B07"/>
    <w:rPr>
      <w:b/>
      <w:bCs/>
      <w:smallCaps/>
      <w:color w:val="0F4761" w:themeColor="accent1" w:themeShade="BF"/>
      <w:spacing w:val="5"/>
    </w:rPr>
  </w:style>
  <w:style w:type="paragraph" w:styleId="Header">
    <w:name w:val="header"/>
    <w:basedOn w:val="Normal"/>
    <w:link w:val="HeaderChar"/>
    <w:uiPriority w:val="99"/>
    <w:unhideWhenUsed/>
    <w:rsid w:val="006A5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07"/>
  </w:style>
  <w:style w:type="paragraph" w:styleId="Footer">
    <w:name w:val="footer"/>
    <w:basedOn w:val="Normal"/>
    <w:link w:val="FooterChar"/>
    <w:uiPriority w:val="99"/>
    <w:unhideWhenUsed/>
    <w:rsid w:val="006A5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07"/>
  </w:style>
  <w:style w:type="character" w:styleId="Hyperlink">
    <w:name w:val="Hyperlink"/>
    <w:basedOn w:val="DefaultParagraphFont"/>
    <w:uiPriority w:val="99"/>
    <w:unhideWhenUsed/>
    <w:rsid w:val="006A5B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2025-08-09T19:59:00Z</dcterms:created>
  <dcterms:modified xsi:type="dcterms:W3CDTF">2025-08-10T14:21:00Z</dcterms:modified>
</cp:coreProperties>
</file>